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>The frequency of cleaning will be driven by the environment in which the beams are installed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ACED" w14:textId="77777777" w:rsidR="007B164C" w:rsidRDefault="007B164C">
      <w:r>
        <w:separator/>
      </w:r>
    </w:p>
    <w:p w14:paraId="0E5FCDE0" w14:textId="77777777" w:rsidR="007B164C" w:rsidRDefault="007B164C"/>
  </w:endnote>
  <w:endnote w:type="continuationSeparator" w:id="0">
    <w:p w14:paraId="52C441EA" w14:textId="77777777" w:rsidR="007B164C" w:rsidRDefault="007B164C">
      <w:r>
        <w:continuationSeparator/>
      </w:r>
    </w:p>
    <w:p w14:paraId="4E218CA4" w14:textId="77777777" w:rsidR="007B164C" w:rsidRDefault="007B1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CE3DF0B" w:rsidR="009210BF" w:rsidRDefault="007B164C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43E86">
          <w:rPr>
            <w:sz w:val="16"/>
            <w:szCs w:val="16"/>
            <w:lang w:val="en-AU"/>
          </w:rPr>
          <w:t>EOM-ZM0-TP-000119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70FB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43E8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43E8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DB3B" w14:textId="77777777" w:rsidR="007B164C" w:rsidRDefault="007B164C">
      <w:r>
        <w:separator/>
      </w:r>
    </w:p>
    <w:p w14:paraId="4AE5302A" w14:textId="77777777" w:rsidR="007B164C" w:rsidRDefault="007B164C"/>
  </w:footnote>
  <w:footnote w:type="continuationSeparator" w:id="0">
    <w:p w14:paraId="195EC358" w14:textId="77777777" w:rsidR="007B164C" w:rsidRDefault="007B164C">
      <w:r>
        <w:continuationSeparator/>
      </w:r>
    </w:p>
    <w:p w14:paraId="6378D15F" w14:textId="77777777" w:rsidR="007B164C" w:rsidRDefault="007B1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EAC37D7" w:rsidR="009210BF" w:rsidRDefault="00A70FB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689C20C" wp14:editId="01B2F74B">
                <wp:simplePos x="0" y="0"/>
                <wp:positionH relativeFrom="column">
                  <wp:posOffset>-390525</wp:posOffset>
                </wp:positionH>
                <wp:positionV relativeFrom="paragraph">
                  <wp:posOffset>-62230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4511025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 xml:space="preserve">ist - </w:t>
          </w:r>
          <w:r w:rsidR="00BC6EF3" w:rsidRPr="00BC6EF3">
            <w:rPr>
              <w:kern w:val="32"/>
              <w:sz w:val="24"/>
              <w:szCs w:val="24"/>
              <w:lang w:val="en-GB"/>
            </w:rPr>
            <w:t xml:space="preserve"> </w:t>
          </w:r>
          <w:r w:rsidR="00043E86" w:rsidRPr="00043E86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1B3440F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392B"/>
    <w:rsid w:val="00043E86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164C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0FB1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EF3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B6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0A692278-2F37-43EC-B63E-F83DFB09A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EOM-ZM0-TP-000119 Rev 001</dc:subject>
  <dc:creator>Rivamonte, Leonnito (RMP)</dc:creator>
  <cp:keywords>ᅟ</cp:keywords>
  <cp:lastModifiedBy>Jancil Saldhana</cp:lastModifiedBy>
  <cp:revision>57</cp:revision>
  <cp:lastPrinted>2017-10-17T10:11:00Z</cp:lastPrinted>
  <dcterms:created xsi:type="dcterms:W3CDTF">2019-12-16T06:44:00Z</dcterms:created>
  <dcterms:modified xsi:type="dcterms:W3CDTF">2021-08-18T08:19:00Z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